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E8" w:rsidRPr="00581F80" w:rsidRDefault="002900E8" w:rsidP="00397BCB">
      <w:pPr>
        <w:spacing w:line="276" w:lineRule="auto"/>
        <w:jc w:val="center"/>
        <w:rPr>
          <w:rStyle w:val="IntenseReference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63pt;width:2in;height:27pt;z-index:251658240" strokecolor="white">
            <v:textbox>
              <w:txbxContent>
                <w:p w:rsidR="002900E8" w:rsidRPr="0036354E" w:rsidRDefault="002900E8">
                  <w:pPr>
                    <w:rPr>
                      <w:b/>
                      <w:sz w:val="20"/>
                      <w:szCs w:val="20"/>
                    </w:rPr>
                  </w:pPr>
                  <w:r>
                    <w:t xml:space="preserve">      </w:t>
                  </w:r>
                  <w:r w:rsidRPr="0036354E">
                    <w:rPr>
                      <w:b/>
                      <w:sz w:val="20"/>
                      <w:szCs w:val="20"/>
                    </w:rPr>
                    <w:t>PRILOGA 5</w:t>
                  </w:r>
                </w:p>
              </w:txbxContent>
            </v:textbox>
          </v:shape>
        </w:pict>
      </w:r>
      <w:r w:rsidRPr="00581F80">
        <w:rPr>
          <w:rStyle w:val="IntenseReference"/>
          <w:sz w:val="40"/>
          <w:szCs w:val="40"/>
        </w:rPr>
        <w:t>KJE SMO?</w:t>
      </w:r>
    </w:p>
    <w:p w:rsidR="002900E8" w:rsidRPr="00504365" w:rsidRDefault="002900E8" w:rsidP="00397BCB">
      <w:pPr>
        <w:spacing w:line="276" w:lineRule="auto"/>
      </w:pPr>
    </w:p>
    <w:p w:rsidR="002900E8" w:rsidRPr="00504365" w:rsidRDefault="002900E8" w:rsidP="00397BCB">
      <w:pPr>
        <w:spacing w:line="276" w:lineRule="auto"/>
        <w:ind w:right="18"/>
      </w:pPr>
      <w:r w:rsidRPr="004168E2">
        <w:rPr>
          <w:noProof/>
        </w:rPr>
        <w:pict>
          <v:shape id="Slika 3" o:spid="_x0000_i1026" type="#_x0000_t75" alt="sava-958x340" style="width:453pt;height:160.5pt;visibility:visible">
            <v:imagedata r:id="rId5" o:title=""/>
          </v:shape>
        </w:pict>
      </w:r>
      <w:r w:rsidRPr="004168E2">
        <w:rPr>
          <w:noProof/>
        </w:rPr>
        <w:pict>
          <v:shape id="Slika 4" o:spid="_x0000_i1027" type="#_x0000_t75" alt="02-idejni-projekt-vizualizacija_467" style="width:450pt;height:210.75pt;visibility:visible">
            <v:imagedata r:id="rId6" o:title=""/>
          </v:shape>
        </w:pict>
      </w:r>
    </w:p>
    <w:p w:rsidR="002900E8" w:rsidRPr="00504365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  <w:jc w:val="both"/>
      </w:pPr>
      <w:r w:rsidRPr="00504365">
        <w:t xml:space="preserve">Fan zone je locirana na področju Stare Save na Jesenicah, kjer je na vsakem koraku vidna železarska tradicija. Staro Savo povezuje trg, ki s preurejeno podobo postajo novo središče družabnih prireditev na Jesenicah, mesto zbiranj in srečevanj. Pred kratkim je bila </w:t>
      </w:r>
      <w:r w:rsidRPr="00504365">
        <w:rPr>
          <w:rStyle w:val="Emphasis"/>
        </w:rPr>
        <w:t xml:space="preserve">Stara Sava nagrajena kot 3. najlepše mestno jedro v Sloveniji. </w:t>
      </w:r>
      <w:r w:rsidRPr="00504365">
        <w:t xml:space="preserve">Športna dvorana Podmežakla je oddaljena </w:t>
      </w:r>
      <w:smartTag w:uri="urn:schemas-microsoft-com:office:smarttags" w:element="metricconverter">
        <w:smartTagPr>
          <w:attr w:name="ProductID" w:val="200 m"/>
        </w:smartTagPr>
        <w:r w:rsidRPr="00504365">
          <w:t>200 m</w:t>
        </w:r>
      </w:smartTag>
      <w:r w:rsidRPr="00504365">
        <w:t xml:space="preserve">, železniška postaja dobrih </w:t>
      </w:r>
      <w:smartTag w:uri="urn:schemas-microsoft-com:office:smarttags" w:element="metricconverter">
        <w:smartTagPr>
          <w:attr w:name="ProductID" w:val="500 m"/>
        </w:smartTagPr>
        <w:r w:rsidRPr="00504365">
          <w:t>500 m</w:t>
        </w:r>
      </w:smartTag>
      <w:r w:rsidRPr="00504365">
        <w:t>. V bližnji okolici so parkirna mesta (Spar, Tuš, Pošta</w:t>
      </w:r>
      <w:r>
        <w:t xml:space="preserve"> Slovenije</w:t>
      </w:r>
      <w:r w:rsidRPr="00504365">
        <w:t xml:space="preserve">, …) od katerih vodi </w:t>
      </w:r>
      <w:r>
        <w:t xml:space="preserve">peš </w:t>
      </w:r>
      <w:r w:rsidRPr="00504365">
        <w:t>povezava skozi Fan zono do Športne dvorane Podmežakla ter seveda nazaj. Fan zona bi bila tako dobro obiskana saj bo v neposredni bližini Športnega parka Podmežakla prepovedano/onemogočeno parkiranje za obiskovalce</w:t>
      </w:r>
      <w:r>
        <w:t xml:space="preserve"> tekmovanja</w:t>
      </w:r>
      <w:r w:rsidRPr="00504365">
        <w:t>.</w:t>
      </w:r>
      <w:r>
        <w:t xml:space="preserve"> Pred glavnim vstopom v Fan zono (avtobusno postajališče Stara Sava) bo tudi t.i. ''hot-spot'' za vse navijače ter obiskovalce tekem v Športni dvorani Podmežakla, kjer jim bo na bližjih okoliških parkiriščih omogočeno parkiranje. Ravno tako bodo, organizirane skupine, ki bodo na tekme  predtekmovalne skupine prispele z avtobusi, napotene na ''hot-spot'' ter naprej v Fan zone oziroma v Športno dvorano Podmežakla.</w:t>
      </w:r>
      <w:r w:rsidRPr="00504365">
        <w:t xml:space="preserve"> </w:t>
      </w:r>
    </w:p>
    <w:p w:rsidR="002900E8" w:rsidRDefault="002900E8" w:rsidP="00397BCB">
      <w:pPr>
        <w:spacing w:line="276" w:lineRule="auto"/>
        <w:jc w:val="both"/>
      </w:pPr>
      <w:r w:rsidRPr="00504365">
        <w:t>Glavni dogodki</w:t>
      </w:r>
      <w:r>
        <w:t xml:space="preserve"> v Fan zoni</w:t>
      </w:r>
      <w:r w:rsidRPr="00504365">
        <w:t xml:space="preserve"> se bodo zvrs</w:t>
      </w:r>
      <w:r>
        <w:t xml:space="preserve">tili v hali nekdanjega Fiproma, </w:t>
      </w:r>
      <w:r w:rsidRPr="00504365">
        <w:t xml:space="preserve">medtem ko se bodo povezovalni programi odvijali na trgu in bližnji okolici. </w:t>
      </w:r>
    </w:p>
    <w:p w:rsidR="002900E8" w:rsidRDefault="002900E8" w:rsidP="00397BCB">
      <w:pPr>
        <w:spacing w:line="276" w:lineRule="auto"/>
        <w:jc w:val="both"/>
      </w:pPr>
      <w:r w:rsidRPr="00504365">
        <w:t xml:space="preserve">Fan </w:t>
      </w:r>
      <w:r w:rsidRPr="00504365">
        <w:rPr>
          <w:rStyle w:val="hps"/>
        </w:rPr>
        <w:t>zone bo</w:t>
      </w:r>
      <w:r w:rsidRPr="00504365">
        <w:t xml:space="preserve"> </w:t>
      </w:r>
      <w:r w:rsidRPr="00504365">
        <w:rPr>
          <w:rStyle w:val="hps"/>
        </w:rPr>
        <w:t>dala vsem</w:t>
      </w:r>
      <w:r w:rsidRPr="00504365">
        <w:t xml:space="preserve"> </w:t>
      </w:r>
      <w:r w:rsidRPr="00504365">
        <w:rPr>
          <w:rStyle w:val="hps"/>
        </w:rPr>
        <w:t>priložnost</w:t>
      </w:r>
      <w:r w:rsidRPr="00504365">
        <w:t xml:space="preserve">, da občutijo </w:t>
      </w:r>
      <w:r w:rsidRPr="00504365">
        <w:rPr>
          <w:rStyle w:val="hps"/>
        </w:rPr>
        <w:t>vzdušje</w:t>
      </w:r>
      <w:r w:rsidRPr="00504365">
        <w:t xml:space="preserve"> </w:t>
      </w:r>
      <w:r w:rsidRPr="00504365">
        <w:rPr>
          <w:rStyle w:val="hps"/>
        </w:rPr>
        <w:t>košarkarskih počitnic</w:t>
      </w:r>
      <w:r w:rsidRPr="00504365">
        <w:t xml:space="preserve"> </w:t>
      </w:r>
      <w:r>
        <w:rPr>
          <w:rStyle w:val="hps"/>
        </w:rPr>
        <w:t>ter</w:t>
      </w:r>
      <w:r w:rsidRPr="00504365">
        <w:rPr>
          <w:rStyle w:val="hps"/>
        </w:rPr>
        <w:t xml:space="preserve"> ogled</w:t>
      </w:r>
      <w:r w:rsidRPr="00504365">
        <w:t xml:space="preserve"> </w:t>
      </w:r>
      <w:r w:rsidRPr="00504365">
        <w:rPr>
          <w:rStyle w:val="hps"/>
        </w:rPr>
        <w:t>tekem na</w:t>
      </w:r>
      <w:r w:rsidRPr="00504365">
        <w:t xml:space="preserve"> </w:t>
      </w:r>
      <w:r w:rsidRPr="00504365">
        <w:rPr>
          <w:rStyle w:val="hps"/>
        </w:rPr>
        <w:t>velikem zaslonu predvsem za</w:t>
      </w:r>
      <w:r w:rsidRPr="00504365">
        <w:t xml:space="preserve"> </w:t>
      </w:r>
      <w:r w:rsidRPr="00504365">
        <w:rPr>
          <w:rStyle w:val="hps"/>
        </w:rPr>
        <w:t>navijače</w:t>
      </w:r>
      <w:r w:rsidRPr="00504365">
        <w:t xml:space="preserve">, ki ne bodo </w:t>
      </w:r>
      <w:r w:rsidRPr="00504365">
        <w:rPr>
          <w:rStyle w:val="hps"/>
        </w:rPr>
        <w:t>uspeli priti v</w:t>
      </w:r>
      <w:r>
        <w:rPr>
          <w:rStyle w:val="hps"/>
        </w:rPr>
        <w:t xml:space="preserve"> Športno</w:t>
      </w:r>
      <w:r w:rsidRPr="00504365">
        <w:rPr>
          <w:rStyle w:val="hps"/>
        </w:rPr>
        <w:t xml:space="preserve"> dvorano Podmežakla ter seveda vse ostale košarkarske navdušence željnih zabave ter športa</w:t>
      </w:r>
      <w:r w:rsidRPr="00504365">
        <w:t>.</w:t>
      </w:r>
    </w:p>
    <w:p w:rsidR="002900E8" w:rsidRPr="00742C98" w:rsidRDefault="002900E8" w:rsidP="00397BCB">
      <w:pPr>
        <w:spacing w:line="276" w:lineRule="auto"/>
        <w:jc w:val="both"/>
      </w:pPr>
      <w:r>
        <w:t>Vstop v Fan zone bo vse tekmovalne dni brezplačen, medtem ko bo za vstop v Fan zono v torek (uradna otvoritev) ter soboto (tekmovanja prost dan) mogoč le z nakupom vstopnice.</w:t>
      </w:r>
    </w:p>
    <w:p w:rsidR="002900E8" w:rsidRDefault="002900E8" w:rsidP="00397BCB">
      <w:pPr>
        <w:widowControl w:val="0"/>
        <w:autoSpaceDE w:val="0"/>
        <w:autoSpaceDN w:val="0"/>
        <w:adjustRightInd w:val="0"/>
        <w:spacing w:line="276" w:lineRule="auto"/>
        <w:ind w:right="52"/>
        <w:jc w:val="center"/>
        <w:rPr>
          <w:rStyle w:val="IntenseReference"/>
          <w:sz w:val="40"/>
          <w:szCs w:val="40"/>
        </w:rPr>
      </w:pPr>
    </w:p>
    <w:p w:rsidR="002900E8" w:rsidRPr="00581F80" w:rsidRDefault="002900E8" w:rsidP="00397BCB">
      <w:pPr>
        <w:spacing w:line="276" w:lineRule="auto"/>
        <w:jc w:val="center"/>
        <w:rPr>
          <w:rStyle w:val="IntenseReference"/>
          <w:sz w:val="40"/>
          <w:szCs w:val="40"/>
        </w:rPr>
      </w:pPr>
      <w:r w:rsidRPr="00581F80">
        <w:rPr>
          <w:rStyle w:val="IntenseReference"/>
          <w:sz w:val="40"/>
          <w:szCs w:val="40"/>
        </w:rPr>
        <w:t>KAKO PRITI DO NAS?</w:t>
      </w:r>
    </w:p>
    <w:p w:rsidR="002900E8" w:rsidRPr="00504365" w:rsidRDefault="002900E8" w:rsidP="00397BCB">
      <w:pPr>
        <w:spacing w:line="276" w:lineRule="auto"/>
      </w:pPr>
    </w:p>
    <w:p w:rsidR="002900E8" w:rsidRPr="00504365" w:rsidRDefault="002900E8" w:rsidP="00397BCB">
      <w:pPr>
        <w:numPr>
          <w:ilvl w:val="0"/>
          <w:numId w:val="2"/>
        </w:numPr>
        <w:spacing w:line="276" w:lineRule="auto"/>
        <w:jc w:val="both"/>
      </w:pPr>
      <w:r w:rsidRPr="00504365">
        <w:t>V neposredni bližini Stare Save je avtobusna postaja (Stara Sava), ki jo dosežete z lokalnim mestnim prometom.</w:t>
      </w:r>
    </w:p>
    <w:p w:rsidR="002900E8" w:rsidRPr="00504365" w:rsidRDefault="002900E8" w:rsidP="00397BCB">
      <w:pPr>
        <w:spacing w:line="276" w:lineRule="auto"/>
        <w:jc w:val="both"/>
      </w:pPr>
    </w:p>
    <w:p w:rsidR="002900E8" w:rsidRPr="00504365" w:rsidRDefault="002900E8" w:rsidP="00397BCB">
      <w:pPr>
        <w:numPr>
          <w:ilvl w:val="0"/>
          <w:numId w:val="2"/>
        </w:numPr>
        <w:spacing w:line="276" w:lineRule="auto"/>
        <w:jc w:val="both"/>
      </w:pPr>
      <w:r w:rsidRPr="00504365">
        <w:t xml:space="preserve">Letališče Brnik: </w:t>
      </w:r>
      <w:smartTag w:uri="urn:schemas-microsoft-com:office:smarttags" w:element="metricconverter">
        <w:smartTagPr>
          <w:attr w:name="ProductID" w:val="43 km"/>
        </w:smartTagPr>
        <w:r w:rsidRPr="00504365">
          <w:t>43 km</w:t>
        </w:r>
      </w:smartTag>
    </w:p>
    <w:p w:rsidR="002900E8" w:rsidRPr="00504365" w:rsidRDefault="002900E8" w:rsidP="00397BCB">
      <w:pPr>
        <w:spacing w:line="276" w:lineRule="auto"/>
        <w:ind w:left="708" w:firstLine="12"/>
        <w:jc w:val="both"/>
      </w:pPr>
      <w:r w:rsidRPr="00504365">
        <w:t xml:space="preserve">Po AC sledite znakom Jesenice (Karavanški predor, Avstrija) in jo zapustite na odseku </w:t>
      </w:r>
      <w:r>
        <w:t xml:space="preserve">   </w:t>
      </w:r>
      <w:r w:rsidRPr="00504365">
        <w:t xml:space="preserve">Lipce – Jesenice vzhod ter sledite oznakam </w:t>
      </w:r>
      <w:r>
        <w:t xml:space="preserve">Športni park </w:t>
      </w:r>
      <w:r w:rsidRPr="00504365">
        <w:t>Podmežakla.</w:t>
      </w:r>
    </w:p>
    <w:p w:rsidR="002900E8" w:rsidRPr="00504365" w:rsidRDefault="002900E8" w:rsidP="00397BCB">
      <w:pPr>
        <w:spacing w:line="276" w:lineRule="auto"/>
        <w:jc w:val="both"/>
      </w:pPr>
    </w:p>
    <w:p w:rsidR="002900E8" w:rsidRPr="00504365" w:rsidRDefault="002900E8" w:rsidP="00397BCB">
      <w:pPr>
        <w:numPr>
          <w:ilvl w:val="0"/>
          <w:numId w:val="3"/>
        </w:numPr>
        <w:spacing w:line="276" w:lineRule="auto"/>
        <w:jc w:val="both"/>
      </w:pPr>
      <w:r w:rsidRPr="00504365">
        <w:t xml:space="preserve">Železniška postaja Jesenice ter glavna avtobusna postaja: </w:t>
      </w:r>
      <w:smartTag w:uri="urn:schemas-microsoft-com:office:smarttags" w:element="metricconverter">
        <w:smartTagPr>
          <w:attr w:name="ProductID" w:val="500 m"/>
        </w:smartTagPr>
        <w:r w:rsidRPr="00504365">
          <w:t>500 m</w:t>
        </w:r>
      </w:smartTag>
    </w:p>
    <w:p w:rsidR="002900E8" w:rsidRPr="00504365" w:rsidRDefault="002900E8" w:rsidP="00397BCB">
      <w:pPr>
        <w:spacing w:line="276" w:lineRule="auto"/>
        <w:ind w:firstLine="708"/>
        <w:jc w:val="both"/>
      </w:pPr>
      <w:r w:rsidRPr="00504365">
        <w:t>Skozi podhod Podmežakla, ki vodi v Športni park Podmežakla ter</w:t>
      </w:r>
      <w:r>
        <w:t xml:space="preserve"> </w:t>
      </w:r>
      <w:r w:rsidRPr="00504365">
        <w:t>Fan Zone.</w:t>
      </w:r>
    </w:p>
    <w:p w:rsidR="002900E8" w:rsidRDefault="002900E8" w:rsidP="00397BCB">
      <w:pPr>
        <w:spacing w:line="276" w:lineRule="auto"/>
        <w:jc w:val="both"/>
      </w:pPr>
    </w:p>
    <w:p w:rsidR="002900E8" w:rsidRPr="00504365" w:rsidRDefault="002900E8" w:rsidP="00397BCB">
      <w:pPr>
        <w:spacing w:line="276" w:lineRule="auto"/>
        <w:jc w:val="both"/>
      </w:pPr>
    </w:p>
    <w:p w:rsidR="002900E8" w:rsidRPr="00581F80" w:rsidRDefault="002900E8" w:rsidP="00397BCB">
      <w:pPr>
        <w:spacing w:line="276" w:lineRule="auto"/>
        <w:jc w:val="center"/>
        <w:rPr>
          <w:rStyle w:val="IntenseReference"/>
          <w:sz w:val="40"/>
          <w:szCs w:val="40"/>
        </w:rPr>
      </w:pPr>
      <w:r w:rsidRPr="00581F80">
        <w:rPr>
          <w:rStyle w:val="IntenseReference"/>
          <w:sz w:val="40"/>
          <w:szCs w:val="40"/>
        </w:rPr>
        <w:t>ODPIRALNI ČAS: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</w:p>
    <w:p w:rsidR="002900E8" w:rsidRPr="00456E52" w:rsidRDefault="002900E8" w:rsidP="00397BC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color w:val="1F497D"/>
        </w:rPr>
      </w:pPr>
      <w:r w:rsidRPr="00456E52">
        <w:rPr>
          <w:b/>
          <w:color w:val="1F497D"/>
        </w:rPr>
        <w:t xml:space="preserve">3. September torek → ticketing </w:t>
      </w:r>
    </w:p>
    <w:p w:rsidR="002900E8" w:rsidRPr="00456E52" w:rsidRDefault="002900E8" w:rsidP="00397BC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456E52">
        <w:rPr>
          <w:b/>
        </w:rPr>
        <w:t xml:space="preserve">4. September – 6. September → od </w:t>
      </w:r>
      <w:r>
        <w:rPr>
          <w:b/>
        </w:rPr>
        <w:t xml:space="preserve">cca. </w:t>
      </w:r>
      <w:r w:rsidRPr="00456E52">
        <w:rPr>
          <w:b/>
        </w:rPr>
        <w:t xml:space="preserve">11.30 do </w:t>
      </w:r>
      <w:r>
        <w:rPr>
          <w:b/>
        </w:rPr>
        <w:t xml:space="preserve">cca. </w:t>
      </w:r>
      <w:r w:rsidRPr="00456E52">
        <w:rPr>
          <w:b/>
        </w:rPr>
        <w:t xml:space="preserve">01.30 </w:t>
      </w:r>
      <w:r w:rsidRPr="00456E52">
        <w:rPr>
          <w:b/>
          <w:i/>
        </w:rPr>
        <w:t>brezplačen vstop</w:t>
      </w:r>
    </w:p>
    <w:p w:rsidR="002900E8" w:rsidRPr="00456E52" w:rsidRDefault="002900E8" w:rsidP="00397BCB">
      <w:pPr>
        <w:numPr>
          <w:ilvl w:val="0"/>
          <w:numId w:val="1"/>
        </w:numPr>
        <w:spacing w:line="276" w:lineRule="auto"/>
        <w:rPr>
          <w:b/>
          <w:color w:val="1F497D"/>
        </w:rPr>
      </w:pPr>
      <w:r w:rsidRPr="00456E52">
        <w:rPr>
          <w:b/>
          <w:color w:val="1F497D"/>
        </w:rPr>
        <w:t>7. September sobota → ticketing</w:t>
      </w:r>
    </w:p>
    <w:p w:rsidR="002900E8" w:rsidRPr="00456E52" w:rsidRDefault="002900E8" w:rsidP="00397BCB">
      <w:pPr>
        <w:numPr>
          <w:ilvl w:val="0"/>
          <w:numId w:val="1"/>
        </w:numPr>
        <w:spacing w:line="276" w:lineRule="auto"/>
        <w:rPr>
          <w:b/>
          <w:i/>
        </w:rPr>
      </w:pPr>
      <w:r w:rsidRPr="00456E52">
        <w:rPr>
          <w:b/>
        </w:rPr>
        <w:t xml:space="preserve">8. September – 9. September  →  od </w:t>
      </w:r>
      <w:r>
        <w:rPr>
          <w:b/>
        </w:rPr>
        <w:t xml:space="preserve">cca. </w:t>
      </w:r>
      <w:r w:rsidRPr="00456E52">
        <w:rPr>
          <w:b/>
        </w:rPr>
        <w:t xml:space="preserve">11.30 do </w:t>
      </w:r>
      <w:r>
        <w:rPr>
          <w:b/>
        </w:rPr>
        <w:t xml:space="preserve">cca. </w:t>
      </w:r>
      <w:r w:rsidRPr="00456E52">
        <w:rPr>
          <w:b/>
        </w:rPr>
        <w:t xml:space="preserve">01.30 </w:t>
      </w:r>
      <w:r w:rsidRPr="00456E52">
        <w:rPr>
          <w:b/>
          <w:i/>
        </w:rPr>
        <w:t>brezplačen vstop</w:t>
      </w:r>
    </w:p>
    <w:p w:rsidR="002900E8" w:rsidRDefault="002900E8" w:rsidP="00397BCB">
      <w:pPr>
        <w:spacing w:line="276" w:lineRule="auto"/>
      </w:pPr>
    </w:p>
    <w:p w:rsidR="002900E8" w:rsidRPr="00504365" w:rsidRDefault="002900E8" w:rsidP="00397BCB">
      <w:pPr>
        <w:spacing w:line="276" w:lineRule="auto"/>
      </w:pPr>
    </w:p>
    <w:p w:rsidR="002900E8" w:rsidRPr="00581F80" w:rsidRDefault="002900E8" w:rsidP="00397BCB">
      <w:pPr>
        <w:spacing w:line="276" w:lineRule="auto"/>
        <w:jc w:val="center"/>
        <w:rPr>
          <w:rStyle w:val="IntenseReference"/>
          <w:sz w:val="40"/>
          <w:szCs w:val="40"/>
        </w:rPr>
      </w:pPr>
      <w:r w:rsidRPr="00581F80">
        <w:rPr>
          <w:rStyle w:val="IntenseReference"/>
          <w:sz w:val="40"/>
          <w:szCs w:val="40"/>
        </w:rPr>
        <w:t>KOLEDAR DOGODKOV V FAN ZONI:</w:t>
      </w:r>
    </w:p>
    <w:p w:rsidR="002900E8" w:rsidRPr="00504365" w:rsidRDefault="002900E8" w:rsidP="00397BCB">
      <w:pPr>
        <w:spacing w:line="276" w:lineRule="auto"/>
        <w:jc w:val="both"/>
        <w:rPr>
          <w:b/>
          <w:color w:val="FF6600"/>
        </w:rPr>
      </w:pPr>
    </w:p>
    <w:p w:rsidR="002900E8" w:rsidRDefault="002900E8" w:rsidP="00397BCB">
      <w:pPr>
        <w:spacing w:line="276" w:lineRule="auto"/>
        <w:jc w:val="both"/>
      </w:pPr>
      <w:r w:rsidRPr="00504365">
        <w:t xml:space="preserve">Sklop dogodkov na posamezni </w:t>
      </w:r>
      <w:r>
        <w:t xml:space="preserve">tekmovalni </w:t>
      </w:r>
      <w:r w:rsidRPr="00504365">
        <w:t xml:space="preserve">dan </w:t>
      </w:r>
      <w:r>
        <w:t>je</w:t>
      </w:r>
      <w:r w:rsidRPr="00504365">
        <w:t xml:space="preserve"> razdeljen na 4. sklope glede na to, da bodo na vsak tekmovalni dan odigrane 3 tekme – ob </w:t>
      </w:r>
      <w:r w:rsidRPr="00504365">
        <w:rPr>
          <w:b/>
        </w:rPr>
        <w:t>14.30</w:t>
      </w:r>
      <w:r w:rsidRPr="00504365">
        <w:t xml:space="preserve">, </w:t>
      </w:r>
      <w:r w:rsidRPr="00504365">
        <w:rPr>
          <w:b/>
        </w:rPr>
        <w:t>17.45</w:t>
      </w:r>
      <w:r w:rsidRPr="00504365">
        <w:t xml:space="preserve"> ter </w:t>
      </w:r>
      <w:r w:rsidRPr="00504365">
        <w:rPr>
          <w:b/>
        </w:rPr>
        <w:t>21.00</w:t>
      </w:r>
      <w:r w:rsidRPr="00504365">
        <w:t xml:space="preserve">. </w:t>
      </w:r>
    </w:p>
    <w:p w:rsidR="002900E8" w:rsidRDefault="002900E8" w:rsidP="00397BCB">
      <w:pPr>
        <w:spacing w:line="276" w:lineRule="auto"/>
        <w:jc w:val="both"/>
        <w:rPr>
          <w:spacing w:val="-2"/>
        </w:rPr>
      </w:pPr>
      <w:r>
        <w:t>Fa</w:t>
      </w:r>
      <w:r w:rsidRPr="00504365">
        <w:t xml:space="preserve">n zona bi bila torej odprta </w:t>
      </w:r>
      <w:r>
        <w:t>približno 3</w:t>
      </w:r>
      <w:r w:rsidRPr="00504365">
        <w:t xml:space="preserve"> ur</w:t>
      </w:r>
      <w:r>
        <w:t>e</w:t>
      </w:r>
      <w:r w:rsidRPr="00504365">
        <w:t xml:space="preserve"> pred pričetkom prve tekme in se zaprla 2 do 2,5 uri po zaključeni zadnji tekmi. </w:t>
      </w:r>
      <w:r>
        <w:rPr>
          <w:spacing w:val="-2"/>
        </w:rPr>
        <w:t xml:space="preserve">Glasbeno/spremljevalni program ter ogled tekem predtekmovalne skupine preko LCD zaslona v košarkarskem vzdušju je razlog za množičen obisk Fan zone na Jesenicah. 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3. 9. TOREK: </w:t>
      </w:r>
      <w:r w:rsidRPr="00743968">
        <w:rPr>
          <w:b/>
        </w:rPr>
        <w:t>OTVORITEV FAN ZONE</w:t>
      </w:r>
    </w:p>
    <w:p w:rsidR="002900E8" w:rsidRPr="00840034" w:rsidRDefault="002900E8" w:rsidP="00397BCB">
      <w:pPr>
        <w:spacing w:line="276" w:lineRule="auto"/>
        <w:jc w:val="both"/>
      </w:pPr>
      <w:r>
        <w:rPr>
          <w:b/>
        </w:rPr>
        <w:t>17</w:t>
      </w:r>
      <w:r w:rsidRPr="00743968">
        <w:rPr>
          <w:b/>
        </w:rPr>
        <w:t>.00</w:t>
      </w:r>
      <w:r>
        <w:rPr>
          <w:b/>
          <w:color w:val="C00000"/>
        </w:rPr>
        <w:t xml:space="preserve"> - </w:t>
      </w:r>
      <w:r w:rsidRPr="00840034">
        <w:t>ticketing</w:t>
      </w:r>
    </w:p>
    <w:p w:rsidR="002900E8" w:rsidRDefault="002900E8" w:rsidP="00397BCB">
      <w:pPr>
        <w:spacing w:line="276" w:lineRule="auto"/>
        <w:jc w:val="both"/>
        <w:rPr>
          <w:b/>
          <w:color w:val="C00000"/>
        </w:rPr>
      </w:pPr>
    </w:p>
    <w:p w:rsidR="002900E8" w:rsidRPr="00504365" w:rsidRDefault="002900E8" w:rsidP="00397BCB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4. 9. </w:t>
      </w:r>
      <w:r w:rsidRPr="00504365">
        <w:rPr>
          <w:b/>
          <w:color w:val="C00000"/>
        </w:rPr>
        <w:t>SREDA:</w:t>
      </w:r>
    </w:p>
    <w:p w:rsidR="002900E8" w:rsidRPr="00743968" w:rsidRDefault="002900E8" w:rsidP="00397BCB">
      <w:pPr>
        <w:spacing w:line="276" w:lineRule="auto"/>
        <w:jc w:val="both"/>
        <w:rPr>
          <w:color w:val="943634"/>
        </w:rPr>
      </w:pPr>
      <w:r w:rsidRPr="00504365">
        <w:t>1</w:t>
      </w:r>
      <w:r>
        <w:t>1</w:t>
      </w:r>
      <w:r w:rsidRPr="00504365">
        <w:t xml:space="preserve">.30 – 14.30 </w:t>
      </w:r>
      <w:r w:rsidRPr="004E2BFB">
        <w:t>DJ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 xml:space="preserve">14.30 – 16.30 </w:t>
      </w:r>
      <w:r>
        <w:rPr>
          <w:b/>
        </w:rPr>
        <w:t>LATVIJA : BIH</w:t>
      </w:r>
    </w:p>
    <w:p w:rsidR="002900E8" w:rsidRPr="00743968" w:rsidRDefault="002900E8" w:rsidP="00397BCB">
      <w:pPr>
        <w:spacing w:line="276" w:lineRule="auto"/>
        <w:jc w:val="both"/>
        <w:rPr>
          <w:b/>
          <w:color w:val="943634"/>
        </w:rPr>
      </w:pPr>
      <w:r w:rsidRPr="00504365">
        <w:t>16.30 – 17.45 DJ + LOKALNO DRUŠTVO/FOLKLORA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17.45 – 19.45 MAKEDONIJA : ČRNA GORA</w:t>
      </w:r>
    </w:p>
    <w:p w:rsidR="002900E8" w:rsidRPr="00504365" w:rsidRDefault="002900E8" w:rsidP="00C97BB0">
      <w:pPr>
        <w:tabs>
          <w:tab w:val="center" w:pos="4536"/>
        </w:tabs>
        <w:spacing w:line="276" w:lineRule="auto"/>
        <w:jc w:val="both"/>
      </w:pPr>
      <w:r w:rsidRPr="00504365">
        <w:t xml:space="preserve">19.45 – 21.00 </w:t>
      </w:r>
      <w:r>
        <w:t>GLASBENI PROGRAM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21.00 – 23.00</w:t>
      </w:r>
      <w:r w:rsidRPr="00504365">
        <w:t xml:space="preserve"> </w:t>
      </w:r>
      <w:r w:rsidRPr="00504365">
        <w:rPr>
          <w:b/>
        </w:rPr>
        <w:t>SRBIJA : LITVA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23.00 – 01.30 MAIN EVENT</w:t>
      </w:r>
    </w:p>
    <w:p w:rsidR="002900E8" w:rsidRPr="00504365" w:rsidRDefault="002900E8" w:rsidP="00397BCB">
      <w:pPr>
        <w:spacing w:line="276" w:lineRule="auto"/>
        <w:jc w:val="both"/>
      </w:pPr>
    </w:p>
    <w:p w:rsidR="002900E8" w:rsidRPr="00504365" w:rsidRDefault="002900E8" w:rsidP="00397BCB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5. 9. </w:t>
      </w:r>
      <w:r w:rsidRPr="00504365">
        <w:rPr>
          <w:b/>
          <w:color w:val="C00000"/>
        </w:rPr>
        <w:t>ČETRTEK</w:t>
      </w:r>
      <w:r>
        <w:rPr>
          <w:b/>
          <w:color w:val="C00000"/>
        </w:rPr>
        <w:t>: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1</w:t>
      </w:r>
      <w:r>
        <w:t>1</w:t>
      </w:r>
      <w:r w:rsidRPr="00504365">
        <w:t>.30 – 14.30 DJ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14.30 – 16.30 ČRNA GORA : LATVIJA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16.30 – 17.45 DJ + LOKALNO DRUŠTVO/FOLKLORA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17.45 – 19.45 BIH : SRBIJA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 xml:space="preserve">19.45 – 21.00 </w:t>
      </w:r>
      <w:r>
        <w:t>GLASBENI PROGRAM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21.00 – 23.00</w:t>
      </w:r>
      <w:r w:rsidRPr="00504365">
        <w:t xml:space="preserve"> </w:t>
      </w:r>
      <w:r w:rsidRPr="00504365">
        <w:rPr>
          <w:b/>
        </w:rPr>
        <w:t>LITVA : MAKEDONIJA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 xml:space="preserve">23.00 – 01.30 MAIN EVENT </w:t>
      </w:r>
    </w:p>
    <w:p w:rsidR="002900E8" w:rsidRPr="00504365" w:rsidRDefault="002900E8" w:rsidP="00397BCB">
      <w:pPr>
        <w:spacing w:line="276" w:lineRule="auto"/>
        <w:jc w:val="both"/>
      </w:pPr>
    </w:p>
    <w:p w:rsidR="002900E8" w:rsidRPr="00504365" w:rsidRDefault="002900E8" w:rsidP="00397BCB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6. 9. </w:t>
      </w:r>
      <w:r w:rsidRPr="00504365">
        <w:rPr>
          <w:b/>
          <w:color w:val="C00000"/>
        </w:rPr>
        <w:t>PETEK</w:t>
      </w:r>
      <w:r>
        <w:rPr>
          <w:b/>
          <w:color w:val="C00000"/>
        </w:rPr>
        <w:t>: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1</w:t>
      </w:r>
      <w:r>
        <w:t>1</w:t>
      </w:r>
      <w:r w:rsidRPr="00504365">
        <w:t>.30 – 14.30 DJ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 xml:space="preserve">14.30 – 16.30 ČRNA GORA : BIH 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16.30 – 17.45 DJ + LOKALNO DRUŠTVO/FOLKLORA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17.45 – 19.45 LATVIJA : LITVA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 xml:space="preserve">19.45 – 21.00 </w:t>
      </w:r>
      <w:r>
        <w:t>GLASBENI PROGRAM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21.00 – 23.00</w:t>
      </w:r>
      <w:r w:rsidRPr="00504365">
        <w:t xml:space="preserve"> </w:t>
      </w:r>
      <w:r w:rsidRPr="00504365">
        <w:rPr>
          <w:b/>
        </w:rPr>
        <w:t>MAKEDONIJA : SRBIJA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 xml:space="preserve">23.00 – 01.30 MAIN EVENT </w:t>
      </w:r>
    </w:p>
    <w:p w:rsidR="002900E8" w:rsidRPr="00504365" w:rsidRDefault="002900E8" w:rsidP="00397BCB">
      <w:pPr>
        <w:spacing w:line="276" w:lineRule="auto"/>
        <w:jc w:val="both"/>
      </w:pPr>
    </w:p>
    <w:p w:rsidR="002900E8" w:rsidRDefault="002900E8" w:rsidP="00397BCB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7. 9. </w:t>
      </w:r>
      <w:r w:rsidRPr="00504365">
        <w:rPr>
          <w:b/>
          <w:color w:val="C00000"/>
        </w:rPr>
        <w:t>SOBOTA</w:t>
      </w:r>
      <w:r>
        <w:rPr>
          <w:b/>
          <w:color w:val="C00000"/>
        </w:rPr>
        <w:t>:</w:t>
      </w:r>
    </w:p>
    <w:p w:rsidR="002900E8" w:rsidRPr="008C619A" w:rsidRDefault="002900E8" w:rsidP="00397BCB">
      <w:pPr>
        <w:spacing w:line="276" w:lineRule="auto"/>
        <w:jc w:val="both"/>
        <w:rPr>
          <w:b/>
          <w:color w:val="C00000"/>
        </w:rPr>
      </w:pPr>
      <w:r w:rsidRPr="00504365">
        <w:rPr>
          <w:b/>
        </w:rPr>
        <w:t>MAIN EVENT</w:t>
      </w:r>
      <w:r w:rsidRPr="00504365">
        <w:t xml:space="preserve"> </w:t>
      </w:r>
      <w:r>
        <w:rPr>
          <w:b/>
          <w:color w:val="C00000"/>
        </w:rPr>
        <w:t xml:space="preserve">- </w:t>
      </w:r>
      <w:r w:rsidRPr="00504365">
        <w:t>ticketing</w:t>
      </w:r>
    </w:p>
    <w:p w:rsidR="002900E8" w:rsidRPr="00504365" w:rsidRDefault="002900E8" w:rsidP="00397BCB">
      <w:pPr>
        <w:spacing w:line="276" w:lineRule="auto"/>
        <w:jc w:val="both"/>
      </w:pPr>
    </w:p>
    <w:p w:rsidR="002900E8" w:rsidRPr="00504365" w:rsidRDefault="002900E8" w:rsidP="00397BCB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8. 9. </w:t>
      </w:r>
      <w:r w:rsidRPr="00504365">
        <w:rPr>
          <w:b/>
          <w:color w:val="C00000"/>
        </w:rPr>
        <w:t>NEDELJA</w:t>
      </w:r>
      <w:r>
        <w:rPr>
          <w:b/>
          <w:color w:val="C00000"/>
        </w:rPr>
        <w:t>: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1</w:t>
      </w:r>
      <w:r>
        <w:t>1</w:t>
      </w:r>
      <w:r w:rsidRPr="00504365">
        <w:t>.30 – 14.30 DJ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14.30 – 16.30 BIH : MAKEDONIJA</w:t>
      </w:r>
    </w:p>
    <w:p w:rsidR="002900E8" w:rsidRPr="00504365" w:rsidRDefault="002900E8" w:rsidP="00397BCB">
      <w:pPr>
        <w:spacing w:line="276" w:lineRule="auto"/>
        <w:jc w:val="both"/>
      </w:pPr>
      <w:r>
        <w:t xml:space="preserve">16.30 – 17.45 DJ 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17.45 – 19.45 SRBIJA : LATVIJA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 xml:space="preserve">19.45 – 21.00 </w:t>
      </w:r>
      <w:r>
        <w:t>GLASBENI PROGRAM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21.00 – 23.00</w:t>
      </w:r>
      <w:r w:rsidRPr="00504365">
        <w:t xml:space="preserve"> </w:t>
      </w:r>
      <w:r w:rsidRPr="00504365">
        <w:rPr>
          <w:b/>
        </w:rPr>
        <w:t>LITVA : ČRNA GORA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23.00 – 01.30 MAIN EVENT</w:t>
      </w:r>
    </w:p>
    <w:p w:rsidR="002900E8" w:rsidRPr="00504365" w:rsidRDefault="002900E8" w:rsidP="00397BCB">
      <w:pPr>
        <w:spacing w:line="276" w:lineRule="auto"/>
        <w:jc w:val="both"/>
      </w:pPr>
    </w:p>
    <w:p w:rsidR="002900E8" w:rsidRPr="00504365" w:rsidRDefault="002900E8" w:rsidP="00397BCB">
      <w:pPr>
        <w:spacing w:line="276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9. 9. </w:t>
      </w:r>
      <w:r w:rsidRPr="00504365">
        <w:rPr>
          <w:b/>
          <w:color w:val="C00000"/>
        </w:rPr>
        <w:t>PONEDELJEK: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1</w:t>
      </w:r>
      <w:r>
        <w:t>1</w:t>
      </w:r>
      <w:r w:rsidRPr="00504365">
        <w:t>.30 – 14.30 DJ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14.30 – 16.30 LATVIJA : MAKEDONIJA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>16.30 – 17.45 DJ + LOKALNO DRUŠTVO/FOLKLORA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 xml:space="preserve">17.45 – 19.45 LITVA : BIH </w:t>
      </w:r>
    </w:p>
    <w:p w:rsidR="002900E8" w:rsidRPr="00504365" w:rsidRDefault="002900E8" w:rsidP="00397BCB">
      <w:pPr>
        <w:spacing w:line="276" w:lineRule="auto"/>
        <w:jc w:val="both"/>
      </w:pPr>
      <w:r w:rsidRPr="00504365">
        <w:t xml:space="preserve">19.45 – 21.00 </w:t>
      </w:r>
      <w:r>
        <w:t>GLASBENI PROGRAM</w:t>
      </w:r>
      <w:r w:rsidRPr="00504365">
        <w:t xml:space="preserve"> </w:t>
      </w:r>
    </w:p>
    <w:p w:rsidR="002900E8" w:rsidRPr="00504365" w:rsidRDefault="002900E8" w:rsidP="00397BCB">
      <w:pPr>
        <w:spacing w:line="276" w:lineRule="auto"/>
        <w:jc w:val="both"/>
        <w:rPr>
          <w:b/>
        </w:rPr>
      </w:pPr>
      <w:r w:rsidRPr="00504365">
        <w:rPr>
          <w:b/>
        </w:rPr>
        <w:t>21.00 – 23.00</w:t>
      </w:r>
      <w:r w:rsidRPr="00504365">
        <w:t xml:space="preserve"> </w:t>
      </w:r>
      <w:r w:rsidRPr="00504365">
        <w:rPr>
          <w:b/>
        </w:rPr>
        <w:t>ČRNA GORA : SRBIJA</w:t>
      </w:r>
    </w:p>
    <w:p w:rsidR="002900E8" w:rsidRDefault="002900E8" w:rsidP="00397BCB">
      <w:pPr>
        <w:spacing w:line="276" w:lineRule="auto"/>
        <w:jc w:val="both"/>
      </w:pPr>
      <w:r>
        <w:t>23.00 – 01.30 MAIN EVEN</w:t>
      </w:r>
    </w:p>
    <w:p w:rsidR="002900E8" w:rsidRDefault="002900E8" w:rsidP="00397BCB">
      <w:pPr>
        <w:spacing w:line="276" w:lineRule="auto"/>
      </w:pPr>
    </w:p>
    <w:p w:rsidR="002900E8" w:rsidRDefault="002900E8" w:rsidP="00C97BB0">
      <w:pPr>
        <w:jc w:val="center"/>
        <w:rPr>
          <w:rStyle w:val="IntenseReference"/>
          <w:sz w:val="48"/>
          <w:szCs w:val="48"/>
        </w:rPr>
      </w:pPr>
      <w:r w:rsidRPr="00C97BB0">
        <w:rPr>
          <w:rStyle w:val="IntenseReference"/>
          <w:sz w:val="48"/>
          <w:szCs w:val="48"/>
        </w:rPr>
        <w:t>ocena števila gledalcev na</w:t>
      </w:r>
    </w:p>
    <w:p w:rsidR="002900E8" w:rsidRPr="00C97BB0" w:rsidRDefault="002900E8" w:rsidP="00C97BB0">
      <w:pPr>
        <w:jc w:val="center"/>
        <w:rPr>
          <w:rStyle w:val="IntenseReference"/>
          <w:sz w:val="48"/>
          <w:szCs w:val="48"/>
        </w:rPr>
      </w:pPr>
      <w:r w:rsidRPr="00C97BB0">
        <w:rPr>
          <w:rStyle w:val="IntenseReference"/>
          <w:sz w:val="48"/>
          <w:szCs w:val="48"/>
        </w:rPr>
        <w:t>posamezno tekmo</w:t>
      </w:r>
    </w:p>
    <w:p w:rsidR="002900E8" w:rsidRDefault="002900E8" w:rsidP="00397BCB">
      <w:pPr>
        <w:pStyle w:val="Header"/>
        <w:tabs>
          <w:tab w:val="clear" w:pos="9072"/>
          <w:tab w:val="right" w:pos="9356"/>
        </w:tabs>
        <w:spacing w:line="276" w:lineRule="auto"/>
      </w:pPr>
    </w:p>
    <w:tbl>
      <w:tblPr>
        <w:tblW w:w="9284" w:type="dxa"/>
        <w:tblCellMar>
          <w:left w:w="0" w:type="dxa"/>
          <w:right w:w="0" w:type="dxa"/>
        </w:tblCellMar>
        <w:tblLook w:val="00A0"/>
      </w:tblPr>
      <w:tblGrid>
        <w:gridCol w:w="1120"/>
        <w:gridCol w:w="1218"/>
        <w:gridCol w:w="567"/>
        <w:gridCol w:w="3402"/>
        <w:gridCol w:w="1701"/>
        <w:gridCol w:w="1276"/>
      </w:tblGrid>
      <w:tr w:rsidR="002900E8" w:rsidRPr="00540F5F" w:rsidTr="00C62C40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4.9.2013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Ocena Eurobasket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Ocena ankete</w:t>
            </w:r>
          </w:p>
        </w:tc>
      </w:tr>
      <w:tr w:rsidR="002900E8" w:rsidRPr="00540F5F" w:rsidTr="00C62C40"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14.30-16.30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Latvia v Bosnia&amp;Herzegovina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2800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17.45-19.45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F.Y.R of Macedonia v Montenegro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4.500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3000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21.00-23.00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Serbia v Lithuania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4100</w:t>
            </w:r>
          </w:p>
        </w:tc>
      </w:tr>
      <w:tr w:rsidR="002900E8" w:rsidRPr="00540F5F" w:rsidTr="00C62C40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5.9.2013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00E8" w:rsidRPr="00540F5F" w:rsidTr="00C62C40"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14.30-16.30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Montenegro v Latvia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2200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17.45-19.45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Bosnia&amp;Herzegovina v Serbia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4600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21.00-23.00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Lithuania v F.Y.R of Macedonia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3100</w:t>
            </w:r>
          </w:p>
        </w:tc>
      </w:tr>
      <w:tr w:rsidR="002900E8" w:rsidRPr="00540F5F" w:rsidTr="00C62C40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6.9.2013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00E8" w:rsidRPr="00540F5F" w:rsidTr="00C62C40"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14.30-16.30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Montenegro v Bosnia&amp;Herzegovina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3500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17.45-19.45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Latvia v Lithuania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2000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21.00-23.00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F.Y.R of Macedonia v Serbia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3800</w:t>
            </w:r>
          </w:p>
        </w:tc>
      </w:tr>
      <w:tr w:rsidR="002900E8" w:rsidRPr="00540F5F" w:rsidTr="00C62C40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7.9.2013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Rest Day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00E8" w:rsidRPr="00540F5F" w:rsidTr="00C62C40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8.9.2013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00E8" w:rsidRPr="00540F5F" w:rsidTr="00C62C40"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14.30-16.30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F.Y.R of Macedonia v Bosnia&amp;Herzegovina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3500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17.45-19.45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Serbia v Latvia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3.500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2900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21.00-23.00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Lithuania v Montenegro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3000</w:t>
            </w:r>
          </w:p>
        </w:tc>
      </w:tr>
      <w:tr w:rsidR="002900E8" w:rsidRPr="00540F5F" w:rsidTr="00C62C40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9.9.2013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00E8" w:rsidRPr="00540F5F" w:rsidTr="00C62C40"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14.30-16.30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Latvia v F.Y.R of Macedonia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2300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17.45-19.45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Lithuania v Bosnia&amp;Herzegovina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3500</w:t>
            </w:r>
          </w:p>
        </w:tc>
      </w:tr>
      <w:tr w:rsidR="002900E8" w:rsidRPr="00540F5F" w:rsidTr="00C62C4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0E8" w:rsidRPr="00540F5F" w:rsidRDefault="002900E8" w:rsidP="00397BC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21.00-23.00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B/13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B62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Montenegro v Serbia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00E8" w:rsidRPr="00540F5F" w:rsidRDefault="002900E8" w:rsidP="00397BCB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40F5F">
              <w:rPr>
                <w:rFonts w:ascii="Calibri" w:hAnsi="Calibri" w:cs="Arial"/>
                <w:sz w:val="20"/>
                <w:szCs w:val="20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540F5F" w:rsidRDefault="002900E8" w:rsidP="00397BCB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0F5F">
              <w:rPr>
                <w:rFonts w:ascii="Calibri" w:hAnsi="Calibri"/>
                <w:b/>
                <w:sz w:val="20"/>
                <w:szCs w:val="20"/>
              </w:rPr>
              <w:t>4000</w:t>
            </w:r>
          </w:p>
        </w:tc>
      </w:tr>
    </w:tbl>
    <w:p w:rsidR="002900E8" w:rsidRDefault="002900E8" w:rsidP="00397BCB">
      <w:pPr>
        <w:spacing w:line="276" w:lineRule="auto"/>
      </w:pPr>
    </w:p>
    <w:p w:rsidR="002900E8" w:rsidRPr="002369B8" w:rsidRDefault="002900E8" w:rsidP="00397BCB">
      <w:pPr>
        <w:spacing w:line="276" w:lineRule="auto"/>
        <w:jc w:val="center"/>
        <w:rPr>
          <w:rStyle w:val="IntenseReference"/>
          <w:sz w:val="40"/>
          <w:szCs w:val="40"/>
        </w:rPr>
      </w:pPr>
      <w:r>
        <w:rPr>
          <w:rStyle w:val="IntenseReference"/>
          <w:sz w:val="40"/>
          <w:szCs w:val="40"/>
        </w:rPr>
        <w:t xml:space="preserve">GLASBENI PROGRAM 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  <w:r w:rsidRPr="002369B8">
        <w:t>TOREK – Slovenski dan</w:t>
      </w:r>
      <w:r>
        <w:t xml:space="preserve"> (ticketing)</w:t>
      </w:r>
    </w:p>
    <w:p w:rsidR="002900E8" w:rsidRDefault="002900E8" w:rsidP="00397BCB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742C98">
        <w:rPr>
          <w:b/>
        </w:rPr>
        <w:t>MODRIJANI</w:t>
      </w:r>
    </w:p>
    <w:p w:rsidR="002900E8" w:rsidRDefault="002900E8" w:rsidP="00397BCB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742C98">
        <w:rPr>
          <w:b/>
        </w:rPr>
        <w:t>ROCK PARTYZANI</w:t>
      </w:r>
    </w:p>
    <w:p w:rsidR="002900E8" w:rsidRPr="00742C98" w:rsidRDefault="002900E8" w:rsidP="00397BCB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 w:rsidRPr="00742C98">
        <w:rPr>
          <w:b/>
        </w:rPr>
        <w:t>MANCA ŠPIK</w:t>
      </w:r>
    </w:p>
    <w:p w:rsidR="002900E8" w:rsidRPr="001F1F72" w:rsidRDefault="002900E8" w:rsidP="00397BCB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LAJF BEND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  <w:r w:rsidRPr="002369B8">
        <w:t>SREDA – Balkanski dan</w:t>
      </w:r>
    </w:p>
    <w:p w:rsidR="002900E8" w:rsidRPr="00B22888" w:rsidRDefault="002900E8" w:rsidP="00397BCB">
      <w:pPr>
        <w:pStyle w:val="ListParagraph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CALYPSO</w:t>
      </w:r>
    </w:p>
    <w:p w:rsidR="002900E8" w:rsidRPr="00E36F24" w:rsidRDefault="002900E8" w:rsidP="00397BCB">
      <w:pPr>
        <w:pStyle w:val="ListParagraph"/>
        <w:numPr>
          <w:ilvl w:val="0"/>
          <w:numId w:val="5"/>
        </w:numPr>
        <w:spacing w:line="276" w:lineRule="auto"/>
      </w:pPr>
      <w:r w:rsidRPr="00E36F24">
        <w:rPr>
          <w:b/>
        </w:rPr>
        <w:t>DAR MAR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  <w:r w:rsidRPr="002369B8">
        <w:t>ČETRTEK – Slovenski dan</w:t>
      </w:r>
    </w:p>
    <w:p w:rsidR="002900E8" w:rsidRPr="001F1F72" w:rsidRDefault="002900E8" w:rsidP="00397BCB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1F1F72">
        <w:rPr>
          <w:b/>
        </w:rPr>
        <w:t>ANSAMBEL SAŠA AVSENIKA</w:t>
      </w:r>
    </w:p>
    <w:p w:rsidR="002900E8" w:rsidRDefault="002900E8" w:rsidP="00397BCB">
      <w:pPr>
        <w:spacing w:line="276" w:lineRule="auto"/>
        <w:ind w:left="720"/>
      </w:pPr>
    </w:p>
    <w:p w:rsidR="002900E8" w:rsidRDefault="002900E8" w:rsidP="00397BCB">
      <w:pPr>
        <w:spacing w:line="276" w:lineRule="auto"/>
      </w:pPr>
      <w:r w:rsidRPr="002369B8">
        <w:t xml:space="preserve">PETEK – International day </w:t>
      </w:r>
    </w:p>
    <w:p w:rsidR="002900E8" w:rsidRPr="001F1F72" w:rsidRDefault="002900E8" w:rsidP="00397BCB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1F1F72">
        <w:rPr>
          <w:b/>
        </w:rPr>
        <w:t>COVER LOVER + ZORAN PREDIN</w:t>
      </w:r>
    </w:p>
    <w:p w:rsidR="002900E8" w:rsidRPr="001F1F72" w:rsidRDefault="002900E8" w:rsidP="00397BCB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MARGATEJA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  <w:r w:rsidRPr="002369B8">
        <w:t>SOBOTA – Main event</w:t>
      </w:r>
      <w:r>
        <w:t xml:space="preserve"> (ticketing)</w:t>
      </w:r>
    </w:p>
    <w:p w:rsidR="002900E8" w:rsidRPr="00B65EE4" w:rsidRDefault="002900E8" w:rsidP="00397BCB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B65EE4">
        <w:rPr>
          <w:b/>
        </w:rPr>
        <w:t>TABU</w:t>
      </w:r>
    </w:p>
    <w:p w:rsidR="002900E8" w:rsidRPr="00B65EE4" w:rsidRDefault="002900E8" w:rsidP="00397BCB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B65EE4">
        <w:rPr>
          <w:b/>
        </w:rPr>
        <w:t>NEDA UKRADEN</w:t>
      </w:r>
    </w:p>
    <w:p w:rsidR="002900E8" w:rsidRDefault="002900E8" w:rsidP="00397BCB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B65EE4">
        <w:rPr>
          <w:b/>
        </w:rPr>
        <w:t>LUNA</w:t>
      </w:r>
    </w:p>
    <w:p w:rsidR="002900E8" w:rsidRPr="001F1F72" w:rsidRDefault="002900E8" w:rsidP="00397BCB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1F1F72">
        <w:rPr>
          <w:b/>
        </w:rPr>
        <w:t>S</w:t>
      </w:r>
      <w:r>
        <w:rPr>
          <w:b/>
        </w:rPr>
        <w:t>.</w:t>
      </w:r>
      <w:r w:rsidRPr="001F1F72">
        <w:rPr>
          <w:b/>
        </w:rPr>
        <w:t>A</w:t>
      </w:r>
      <w:r>
        <w:rPr>
          <w:b/>
        </w:rPr>
        <w:t>.</w:t>
      </w:r>
      <w:r w:rsidRPr="001F1F72">
        <w:rPr>
          <w:b/>
        </w:rPr>
        <w:t>R</w:t>
      </w:r>
      <w:r>
        <w:rPr>
          <w:b/>
        </w:rPr>
        <w:t xml:space="preserve">.S.    </w:t>
      </w:r>
    </w:p>
    <w:p w:rsidR="002900E8" w:rsidRPr="001F1F72" w:rsidRDefault="002900E8" w:rsidP="00397BCB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1F1F72">
        <w:rPr>
          <w:b/>
        </w:rPr>
        <w:t>LE</w:t>
      </w:r>
      <w:r>
        <w:rPr>
          <w:b/>
        </w:rPr>
        <w:t>NI</w:t>
      </w:r>
      <w:r w:rsidRPr="001F1F72">
        <w:rPr>
          <w:b/>
        </w:rPr>
        <w:t xml:space="preserve"> KRAVAC</w:t>
      </w:r>
    </w:p>
    <w:p w:rsidR="002900E8" w:rsidRPr="00B65EE4" w:rsidRDefault="002900E8" w:rsidP="00397BCB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DJ JAŠAREV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  <w:r w:rsidRPr="002369B8">
        <w:t>NEDELJA – Dance day</w:t>
      </w:r>
    </w:p>
    <w:p w:rsidR="002900E8" w:rsidRPr="00B65EE4" w:rsidRDefault="002900E8" w:rsidP="00397BCB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 w:rsidRPr="00B65EE4">
        <w:rPr>
          <w:b/>
        </w:rPr>
        <w:t>HELP</w:t>
      </w:r>
    </w:p>
    <w:p w:rsidR="002900E8" w:rsidRPr="007074B4" w:rsidRDefault="002900E8" w:rsidP="00397BCB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 w:rsidRPr="00B65EE4">
        <w:rPr>
          <w:b/>
        </w:rPr>
        <w:t>EIGHT BOMB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  <w:r w:rsidRPr="002369B8">
        <w:t>PONEDELJEK – Jeseniški dan</w:t>
      </w:r>
    </w:p>
    <w:p w:rsidR="002900E8" w:rsidRPr="002E17F3" w:rsidRDefault="002900E8" w:rsidP="00397BCB">
      <w:pPr>
        <w:pStyle w:val="ListParagraph"/>
        <w:numPr>
          <w:ilvl w:val="0"/>
          <w:numId w:val="11"/>
        </w:numPr>
        <w:spacing w:line="276" w:lineRule="auto"/>
      </w:pPr>
      <w:r w:rsidRPr="002E17F3">
        <w:rPr>
          <w:b/>
        </w:rPr>
        <w:t>ZAHOD</w:t>
      </w:r>
    </w:p>
    <w:p w:rsidR="002900E8" w:rsidRPr="002E17F3" w:rsidRDefault="002900E8" w:rsidP="00397BCB">
      <w:pPr>
        <w:pStyle w:val="ListParagraph"/>
        <w:numPr>
          <w:ilvl w:val="0"/>
          <w:numId w:val="11"/>
        </w:numPr>
        <w:spacing w:line="276" w:lineRule="auto"/>
      </w:pPr>
      <w:r>
        <w:rPr>
          <w:b/>
        </w:rPr>
        <w:t>80's BAND</w:t>
      </w: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p w:rsidR="002900E8" w:rsidRDefault="002900E8" w:rsidP="00397BCB">
      <w:pPr>
        <w:spacing w:line="276" w:lineRule="auto"/>
      </w:pPr>
    </w:p>
    <w:sectPr w:rsidR="002900E8" w:rsidSect="00BB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D739E8"/>
    <w:multiLevelType w:val="hybridMultilevel"/>
    <w:tmpl w:val="670A767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302"/>
    <w:multiLevelType w:val="hybridMultilevel"/>
    <w:tmpl w:val="D83615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00D63"/>
    <w:multiLevelType w:val="hybridMultilevel"/>
    <w:tmpl w:val="C41E29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E583A"/>
    <w:multiLevelType w:val="hybridMultilevel"/>
    <w:tmpl w:val="F7BC970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23E2"/>
    <w:multiLevelType w:val="hybridMultilevel"/>
    <w:tmpl w:val="B9A450D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1062"/>
    <w:multiLevelType w:val="hybridMultilevel"/>
    <w:tmpl w:val="C3621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E7E7C"/>
    <w:multiLevelType w:val="hybridMultilevel"/>
    <w:tmpl w:val="9120EF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51A8"/>
    <w:multiLevelType w:val="hybridMultilevel"/>
    <w:tmpl w:val="A622E1E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252D"/>
    <w:multiLevelType w:val="hybridMultilevel"/>
    <w:tmpl w:val="A42EE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E2AC1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BDA258B"/>
    <w:multiLevelType w:val="hybridMultilevel"/>
    <w:tmpl w:val="EA84679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43A"/>
    <w:rsid w:val="000A27CA"/>
    <w:rsid w:val="000B153B"/>
    <w:rsid w:val="001F1F72"/>
    <w:rsid w:val="002342C5"/>
    <w:rsid w:val="002369B8"/>
    <w:rsid w:val="002900E8"/>
    <w:rsid w:val="002E17F3"/>
    <w:rsid w:val="00342159"/>
    <w:rsid w:val="0036354E"/>
    <w:rsid w:val="00397BCB"/>
    <w:rsid w:val="004168E2"/>
    <w:rsid w:val="00456E52"/>
    <w:rsid w:val="004A069F"/>
    <w:rsid w:val="004C63AD"/>
    <w:rsid w:val="004E2BFB"/>
    <w:rsid w:val="00504365"/>
    <w:rsid w:val="00540F5F"/>
    <w:rsid w:val="00581F80"/>
    <w:rsid w:val="005C2C16"/>
    <w:rsid w:val="005F526B"/>
    <w:rsid w:val="0067143A"/>
    <w:rsid w:val="007074B4"/>
    <w:rsid w:val="00742C98"/>
    <w:rsid w:val="00743968"/>
    <w:rsid w:val="008213A0"/>
    <w:rsid w:val="00840034"/>
    <w:rsid w:val="008B5157"/>
    <w:rsid w:val="008C619A"/>
    <w:rsid w:val="008E1015"/>
    <w:rsid w:val="008E6151"/>
    <w:rsid w:val="009A0443"/>
    <w:rsid w:val="00AB206C"/>
    <w:rsid w:val="00B22888"/>
    <w:rsid w:val="00B65EE4"/>
    <w:rsid w:val="00BB680E"/>
    <w:rsid w:val="00C62C40"/>
    <w:rsid w:val="00C97BB0"/>
    <w:rsid w:val="00D55E0E"/>
    <w:rsid w:val="00E36F24"/>
    <w:rsid w:val="00F7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6E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5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5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5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5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5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53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153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5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15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53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153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53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153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153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153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153B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B15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B15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99"/>
    <w:qFormat/>
    <w:rsid w:val="000B153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B153B"/>
    <w:rPr>
      <w:rFonts w:cs="Times New Roman"/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0B153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0B153B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153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153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0B153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B153B"/>
    <w:rPr>
      <w:rFonts w:cs="Times New Roman"/>
      <w:i/>
      <w:iCs/>
    </w:rPr>
  </w:style>
  <w:style w:type="paragraph" w:styleId="NoSpacing">
    <w:name w:val="No Spacing"/>
    <w:uiPriority w:val="99"/>
    <w:qFormat/>
    <w:rsid w:val="000B15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0B15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B153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B153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B15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B153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0B153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B153B"/>
    <w:rPr>
      <w:rFonts w:cs="Times New Roman"/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0B153B"/>
    <w:rPr>
      <w:rFonts w:cs="Times New Roman"/>
      <w:b/>
      <w:bCs/>
      <w:smallCaps/>
      <w:spacing w:val="5"/>
    </w:rPr>
  </w:style>
  <w:style w:type="character" w:customStyle="1" w:styleId="hps">
    <w:name w:val="hps"/>
    <w:basedOn w:val="DefaultParagraphFont"/>
    <w:uiPriority w:val="99"/>
    <w:rsid w:val="00456E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E52"/>
    <w:rPr>
      <w:rFonts w:ascii="Tahoma" w:hAnsi="Tahoma" w:cs="Tahoma"/>
      <w:sz w:val="16"/>
      <w:szCs w:val="16"/>
      <w:lang w:val="sl-SI" w:eastAsia="sl-SI" w:bidi="ar-SA"/>
    </w:rPr>
  </w:style>
  <w:style w:type="paragraph" w:styleId="Header">
    <w:name w:val="header"/>
    <w:basedOn w:val="Normal"/>
    <w:link w:val="HeaderChar"/>
    <w:uiPriority w:val="99"/>
    <w:rsid w:val="008C61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19A"/>
    <w:rPr>
      <w:rFonts w:ascii="Times New Roman" w:hAnsi="Times New Roman" w:cs="Times New Roman"/>
      <w:sz w:val="24"/>
      <w:szCs w:val="24"/>
      <w:lang w:val="sl-SI" w:eastAsia="sl-SI" w:bidi="ar-SA"/>
    </w:rPr>
  </w:style>
  <w:style w:type="character" w:styleId="CommentReference">
    <w:name w:val="annotation reference"/>
    <w:basedOn w:val="DefaultParagraphFont"/>
    <w:uiPriority w:val="99"/>
    <w:semiHidden/>
    <w:rsid w:val="008213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1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07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833</Words>
  <Characters>4751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KJE SMO</dc:title>
  <dc:subject/>
  <dc:creator>uporabnik</dc:creator>
  <cp:keywords/>
  <dc:description/>
  <cp:lastModifiedBy>UPO1</cp:lastModifiedBy>
  <cp:revision>2</cp:revision>
  <dcterms:created xsi:type="dcterms:W3CDTF">2013-07-09T07:40:00Z</dcterms:created>
  <dcterms:modified xsi:type="dcterms:W3CDTF">2013-07-09T07:40:00Z</dcterms:modified>
</cp:coreProperties>
</file>